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Metadata/LabelInfo.xml" ContentType="application/vnd.ms-office.classificationlabel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pStyle w:val="Title"/>
      </w:pPr>
      <w:r>
        <w:t>Marco del proyecto: Modernización de Red y Mejora de Seguridad</w:t>
      </w:r>
    </w:p>
    <w:p>
      <w:r>
        <w:rPr>
          <w:b/>
        </w:rPr>
        <w:t>Boulder Innovations · Resumen para la dirección</w:t>
      </w:r>
    </w:p>
    <w:p>
      <w:r>
        <w:rPr>
          <w:i/>
        </w:rPr>
        <w:t>Respaldo del curso: reproduce el resultado esperado del laboratorio principal de TI a partir de los seis archivos de Boulder Innovations. Úsalo solo si no tienes a mano el marco que creaste con Copilot. Entre paréntesis va la fuente de cada dato; el apéndice indica a qué archivo corresponde cada una.</w:t>
      </w:r>
    </w:p>
    <w:p>
      <w:pPr>
        <w:pStyle w:val="Heading1"/>
      </w:pPr>
      <w:r>
        <w:t>1. Propósito y alcance</w:t>
      </w:r>
    </w:p>
    <w:p>
      <w:pPr>
        <w:pStyle w:val="ListParagraph"/>
      </w:pPr>
      <w:r>
        <w:t>• Propósito: los equipos de la red troncal llegaron al final de su vida útil y varios enrutadores y conmutadores dejarán de recibir actualizaciones de seguridad después del T4. (Propuesta)</w:t>
      </w:r>
    </w:p>
    <w:p>
      <w:pPr>
        <w:pStyle w:val="ListParagraph"/>
      </w:pPr>
      <w:r>
        <w:t>• Reemplazar los equipos heredados por dispositivos de red compatibles con Azure. (Propuesta)</w:t>
      </w:r>
    </w:p>
    <w:p>
      <w:pPr>
        <w:pStyle w:val="ListParagraph"/>
      </w:pPr>
      <w:r>
        <w:t>• Implementar controles de acceso de confianza cero en la sede corporativa y en las sucursales. (Propuesta)</w:t>
      </w:r>
    </w:p>
    <w:p>
      <w:pPr>
        <w:pStyle w:val="ListParagraph"/>
      </w:pPr>
      <w:r>
        <w:t>• Migrar a los usuarios de VPN de acceso remoto al acceso condicional de Microsoft Entra ID. (Propuesta)</w:t>
      </w:r>
    </w:p>
    <w:p>
      <w:pPr>
        <w:pStyle w:val="ListParagraph"/>
      </w:pPr>
      <w:r>
        <w:t>• Actualizar los puntos de acceso inalámbrico a Wi-Fi 6 para mejorar el rendimiento del trabajo híbrido. (Propuesta)</w:t>
      </w:r>
    </w:p>
    <w:p>
      <w:pPr>
        <w:pStyle w:val="ListParagraph"/>
      </w:pPr>
      <w:r>
        <w:t>• Enfoque: despliegue por fases, región por región, para minimizar las interrupciones y repartir el flujo de caja entre trimestres. (Presupuesto)</w:t>
      </w:r>
    </w:p>
    <w:p>
      <w:pPr>
        <w:pStyle w:val="Heading1"/>
      </w:pPr>
      <w:r>
        <w:t>2. Objetivos principales</w:t>
      </w:r>
    </w:p>
    <w:p>
      <w:pPr>
        <w:pStyle w:val="ListParagraph"/>
      </w:pPr>
      <w:r>
        <w:t>• Retirar los equipos sin soporte antes de que dejen de recibir actualizaciones de seguridad (después del T4). (Propuesta)</w:t>
      </w:r>
    </w:p>
    <w:p>
      <w:pPr>
        <w:pStyle w:val="ListParagraph"/>
      </w:pPr>
      <w:r>
        <w:t>• Aplicar el modelo de confianza cero desde la Fase 1. (Reunión)</w:t>
      </w:r>
    </w:p>
    <w:p>
      <w:pPr>
        <w:pStyle w:val="ListParagraph"/>
      </w:pPr>
      <w:r>
        <w:t>• Mantener al mínimo la inactividad, sobre todo en las operaciones del centro de llamadas. (Reunión)</w:t>
      </w:r>
    </w:p>
    <w:p>
      <w:pPr>
        <w:pStyle w:val="ListParagraph"/>
      </w:pPr>
      <w:r>
        <w:t>• Reducir la latencia y la pérdida de paquetes: la sede de Chicago pierde paquetes en las horas pico. (Chat)</w:t>
      </w:r>
    </w:p>
    <w:p>
      <w:pPr>
        <w:pStyle w:val="ListParagraph"/>
      </w:pPr>
      <w:r>
        <w:t>• Mantener el costo total por debajo de $500K, con equipos y servicios administrados incluidos. (Presupuesto)</w:t>
      </w:r>
    </w:p>
    <w:p>
      <w:pPr>
        <w:pStyle w:val="Heading1"/>
      </w:pPr>
      <w:r>
        <w:t>3. Entregables clave</w:t>
      </w:r>
    </w:p>
    <w:p>
      <w:pPr>
        <w:pStyle w:val="ListParagraph"/>
      </w:pPr>
      <w:r>
        <w:t>• Hoja de ruta de implementación. (Propuesta)</w:t>
      </w:r>
    </w:p>
    <w:p>
      <w:pPr>
        <w:pStyle w:val="ListParagraph"/>
      </w:pPr>
      <w:r>
        <w:t>• Estimaciones de costos. (Propuesta)</w:t>
      </w:r>
    </w:p>
    <w:p>
      <w:pPr>
        <w:pStyle w:val="ListParagraph"/>
      </w:pPr>
      <w:r>
        <w:t>• Plan de mitigación de la inactividad. (Propuesta)</w:t>
      </w:r>
    </w:p>
    <w:p>
      <w:pPr>
        <w:pStyle w:val="ListParagraph"/>
      </w:pPr>
      <w:r>
        <w:t>• Lista de verificación de validación posterior al despliegue. (Propuesta)</w:t>
      </w:r>
    </w:p>
    <w:p>
      <w:pPr>
        <w:pStyle w:val="ListParagraph"/>
      </w:pPr>
      <w:r>
        <w:t>• Pruebas de penetración incluidas en el plan final. (Chat)</w:t>
      </w:r>
    </w:p>
    <w:p>
      <w:pPr>
        <w:pStyle w:val="ListParagraph"/>
      </w:pPr>
      <w:r>
        <w:t>• Procedimientos de reversión documentados para cualquier actualización fallida. (Memo)</w:t>
      </w:r>
    </w:p>
    <w:p>
      <w:pPr>
        <w:pStyle w:val="ListParagraph"/>
      </w:pPr>
      <w:r>
        <w:t>• Diapositivas de resumen ejecutivo con la mitigación de riesgos y las proyecciones de retorno de la inversión (ROI). (Reunión)</w:t>
      </w:r>
    </w:p>
    <w:p>
      <w:pPr>
        <w:pStyle w:val="ListParagraph"/>
      </w:pPr>
      <w:r>
        <w:t>• Informes de avance quincenales para Finanzas. (Reunión)</w:t>
      </w:r>
    </w:p>
    <w:p>
      <w:pPr>
        <w:pStyle w:val="Heading1"/>
      </w:pPr>
      <w:r>
        <w:t>4. Hitos y calendario</w:t>
      </w:r>
    </w:p>
    <w:p>
      <w:pPr>
        <w:pStyle w:val="ListParagraph"/>
      </w:pPr>
      <w:r>
        <w:t>• 27 de agosto de 2025: llegan las cotizaciones consolidadas de los proveedores. (Cotizaciones)</w:t>
      </w:r>
    </w:p>
    <w:p>
      <w:pPr>
        <w:pStyle w:val="ListParagraph"/>
      </w:pPr>
      <w:r>
        <w:t>• 2 al 5 de septiembre: el canal del proyecto discute la latencia, la sede de Chicago y las pruebas de penetración. (Chat)</w:t>
      </w:r>
    </w:p>
    <w:p>
      <w:pPr>
        <w:pStyle w:val="ListParagraph"/>
      </w:pPr>
      <w:r>
        <w:t>• 10 de septiembre de 2025: alineación del presupuesto; Finanzas cerrará las asignaciones del T2 la semana siguiente. (Presupuesto)</w:t>
      </w:r>
    </w:p>
    <w:p>
      <w:pPr>
        <w:pStyle w:val="ListParagraph"/>
      </w:pPr>
      <w:r>
        <w:t>• 25 de septiembre: reunión informativa con las partes interesadas. (Reunión)</w:t>
      </w:r>
    </w:p>
    <w:p>
      <w:pPr>
        <w:pStyle w:val="ListParagraph"/>
      </w:pPr>
      <w:r>
        <w:t>• Fase piloto: escaneos de vulnerabilidades. (Memo)</w:t>
      </w:r>
    </w:p>
    <w:p>
      <w:pPr>
        <w:pStyle w:val="ListParagraph"/>
      </w:pPr>
      <w:r>
        <w:t>• Fase 1: despliegue del modelo de confianza cero. (Reunión)</w:t>
      </w:r>
    </w:p>
    <w:p>
      <w:pPr>
        <w:pStyle w:val="ListParagraph"/>
      </w:pPr>
      <w:r>
        <w:t>• Después del T4: los equipos actuales dejan de recibir actualizaciones de seguridad. (Propuesta)</w:t>
      </w:r>
    </w:p>
    <w:p>
      <w:pPr>
        <w:pStyle w:val="ListParagraph"/>
      </w:pPr>
      <w:r>
        <w:t>• Pendiente: selección final del proveedor, sujeta a la aprobación de Seguridad y Compras. (Cotizaciones)</w:t>
      </w:r>
    </w:p>
    <w:p>
      <w:pPr>
        <w:pStyle w:val="Heading1"/>
      </w:pPr>
      <w:r>
        <w:t>5. Presupuesto y proveedores</w:t>
      </w:r>
    </w:p>
    <w:p>
      <w:pPr>
        <w:pStyle w:val="ListParagraph"/>
      </w:pPr>
      <w:r>
        <w:t>• Tope: el costo total estimado debe quedar por debajo de $500K, con equipos y tarifas de servicios administrados. (Presupuesto)</w:t>
      </w:r>
    </w:p>
    <w:p>
      <w:pPr>
        <w:pStyle w:val="ListParagraph"/>
      </w:pPr>
      <w:r>
        <w:t>• Estimado preliminar: alrededor de $460K con despliegue por fases, más una partida para la capacitación del personal y la cobertura de mantenimiento fuera del horario laboral. (Presupuesto)</w:t>
      </w:r>
    </w:p>
    <w:p>
      <w:pPr>
        <w:pStyle w:val="ListParagraph"/>
      </w:pPr>
      <w:r>
        <w:t>• Contingencia: $40K para licencias imprevistas o inactividad prolongada. (Presupuesto)</w:t>
      </w:r>
    </w:p>
    <w:p>
      <w:pPr>
        <w:pStyle w:val="ListParagraph"/>
      </w:pPr>
      <w:r>
        <w:t>• Proveedor A, VanArsdel, Ltd.: equipos $320K y servicios $60K; monitoreo limitado después de la instalación (30 días). (Cotizaciones)</w:t>
      </w:r>
    </w:p>
    <w:p>
      <w:pPr>
        <w:pStyle w:val="ListParagraph"/>
      </w:pPr>
      <w:r>
        <w:t>• Proveedor B, Relecloud: equipos $295K y servicios $75K; monitoreo 24/7 durante seis meses después del despliegue y actualizaciones proactivas de firmware. (Cotizaciones)</w:t>
      </w:r>
    </w:p>
    <w:p>
      <w:pPr>
        <w:pStyle w:val="ListParagraph"/>
      </w:pPr>
      <w:r>
        <w:t>• Recomendación: seguir adelante con Relecloud, pendiente de la aprobación de Seguridad y Compras. (Cotizaciones)</w:t>
      </w:r>
    </w:p>
    <w:p>
      <w:pPr>
        <w:pStyle w:val="Heading1"/>
      </w:pPr>
      <w:r>
        <w:t>6. Riesgos</w:t>
      </w:r>
    </w:p>
    <w:p>
      <w:pPr>
        <w:pStyle w:val="ListParagraph"/>
      </w:pPr>
      <w:r>
        <w:t>• Seguridad: equipos sin actualizaciones de seguridad después del T4. (Propuesta)</w:t>
      </w:r>
    </w:p>
    <w:p>
      <w:pPr>
        <w:pStyle w:val="ListParagraph"/>
      </w:pPr>
      <w:r>
        <w:t>• Calificación de riesgo media: los controles son adecuados si se sigue la secuencia correcta (líneas base de firmware antes del despliegue, escaneos de vulnerabilidades en el piloto, MFA en todas las consolas de administración y procedimientos de reversión). (Memo)</w:t>
      </w:r>
    </w:p>
    <w:p>
      <w:pPr>
        <w:pStyle w:val="ListParagraph"/>
      </w:pPr>
      <w:r>
        <w:t>• Operación: inactividad que afecte al centro de llamadas. (Reunión)</w:t>
      </w:r>
    </w:p>
    <w:p>
      <w:pPr>
        <w:pStyle w:val="ListParagraph"/>
      </w:pPr>
      <w:r>
        <w:t>• Rendimiento: pérdida de paquetes en la sede de Chicago en las horas pico. (Chat)</w:t>
      </w:r>
    </w:p>
    <w:p>
      <w:pPr>
        <w:pStyle w:val="ListParagraph"/>
      </w:pPr>
      <w:r>
        <w:t>• Costos: licencias imprevistas, inactividad prolongada o costos de compra y configuración por encima de lo estimado. (Presupuesto)</w:t>
      </w:r>
    </w:p>
    <w:p>
      <w:pPr>
        <w:pStyle w:val="ListParagraph"/>
      </w:pPr>
      <w:r>
        <w:t>• Proveedor: la opción de VanArsdel solo incluye 30 días de monitoreo y la elección final depende de aprobaciones pendientes. (Cotizaciones)</w:t>
      </w:r>
    </w:p>
    <w:p>
      <w:pPr>
        <w:pStyle w:val="Heading1"/>
      </w:pPr>
      <w:r>
        <w:t>7. Partes interesadas</w:t>
      </w:r>
    </w:p>
    <w:p>
      <w:pPr>
        <w:pStyle w:val="ListParagraph"/>
      </w:pPr>
      <w:r>
        <w:t>• CIO: pide una inactividad mínima del centro de llamadas y diapositivas ejecutivas con riesgos y ROI. (Reunión)</w:t>
      </w:r>
    </w:p>
    <w:p>
      <w:pPr>
        <w:pStyle w:val="ListParagraph"/>
      </w:pPr>
      <w:r>
        <w:t>• Christian Lacombe, director de Infraestructura de TI: autor de la propuesta inicial; propone la contingencia de $40K. (Propuesta, Presupuesto)</w:t>
      </w:r>
    </w:p>
    <w:p>
      <w:pPr>
        <w:pStyle w:val="ListParagraph"/>
      </w:pPr>
      <w:r>
        <w:t>• Julia Lenares, gerente de proyecto: estimado preliminar y plan por fases; envía el resumen de cotizaciones. (Presupuesto, Cotizaciones)</w:t>
      </w:r>
    </w:p>
    <w:p>
      <w:pPr>
        <w:pStyle w:val="ListParagraph"/>
      </w:pPr>
      <w:r>
        <w:t>• Dana Kim, gerente de proyecto de Infraestructura de TI: firma el resumen de cotizaciones. (Cotizaciones)</w:t>
      </w:r>
    </w:p>
    <w:p>
      <w:pPr>
        <w:pStyle w:val="ListParagraph"/>
      </w:pPr>
      <w:r>
        <w:t>• Alfonso Santos, contralor de Finanzas: fija el tope de $500K y cierra las asignaciones del T2. (Presupuesto)</w:t>
      </w:r>
    </w:p>
    <w:p>
      <w:pPr>
        <w:pStyle w:val="ListParagraph"/>
      </w:pPr>
      <w:r>
        <w:t>• Carmen Vella, analista de seguridad: consideraciones clave de seguridad y calificación de riesgo. (Memo)</w:t>
      </w:r>
    </w:p>
    <w:p>
      <w:pPr>
        <w:pStyle w:val="ListParagraph"/>
      </w:pPr>
      <w:r>
        <w:t>• Líder de Seguridad y equipo de seguridad: confianza cero en la Fase 1 y pruebas de penetración. (Reunión, Chat)</w:t>
      </w:r>
    </w:p>
    <w:p>
      <w:pPr>
        <w:pStyle w:val="ListParagraph"/>
      </w:pPr>
      <w:r>
        <w:t>• Equipo del proyecto en Teams: Pio Milanesi, Elvira Cano y Bibi Lulu. (Chat)</w:t>
      </w:r>
    </w:p>
    <w:p>
      <w:pPr>
        <w:pStyle w:val="ListParagraph"/>
      </w:pPr>
      <w:r>
        <w:t>• Compras y los proveedores VanArsdel, Ltd. y Relecloud. (Cotizaciones)</w:t>
      </w:r>
    </w:p>
    <w:p>
      <w:pPr>
        <w:pStyle w:val="Heading1"/>
      </w:pPr>
      <w:r>
        <w:t>8. Datos contradictorios o por confirmar</w:t>
      </w:r>
    </w:p>
    <w:p>
      <w:pPr>
        <w:pStyle w:val="ListParagraph"/>
      </w:pPr>
      <w:r>
        <w:t>• Jefatura del proyecto: el resumen de cotizaciones lo envía Julia Lenares, pero lo firma Dana Kim como gerente de proyecto; en el hilo de presupuesto, Julia Lenares figura como gerente de proyecto. (Cotizaciones, Presupuesto)</w:t>
      </w:r>
    </w:p>
    <w:p>
      <w:pPr>
        <w:pStyle w:val="ListParagraph"/>
      </w:pPr>
      <w:r>
        <w:t>• Tope de presupuesto: Finanzas pide quedar por debajo de $500K, pero el estimado de $460K más la contingencia de $40K suma exactamente $500K. (Presupuesto)</w:t>
      </w:r>
    </w:p>
    <w:p>
      <w:pPr>
        <w:pStyle w:val="ListParagraph"/>
      </w:pPr>
      <w:r>
        <w:t>• Montos: las cotizaciones suman $380K (VanArsdel) y $370K (Relecloud), por debajo del estimado de $460K; ninguna fuente explica la diferencia. (Cotizaciones, Presupuesto)</w:t>
      </w:r>
    </w:p>
    <w:p>
      <w:pPr>
        <w:pStyle w:val="ListParagraph"/>
      </w:pPr>
      <w:r>
        <w:t>• Correos: la dirección de Julia Lenares aparece de dos formas (Julia.lenares@ y julia.linares@) y la de Christian Lacombe, como chrisitan.lacombe@. (Cotizaciones, Presupuesto)</w:t>
      </w:r>
    </w:p>
    <w:p>
      <w:pPr>
        <w:pStyle w:val="ListParagraph"/>
      </w:pPr>
      <w:r>
        <w:t>• Calendario: Finanzas cerrará las asignaciones del T2, mientras que el límite técnico es el fin de las actualizaciones después del T4; la reunión y el chat no indican el año. (Presupuesto, Propuesta, Reunión, Chat)</w:t>
      </w:r>
    </w:p>
    <w:p>
      <w:pPr>
        <w:pStyle w:val="ListParagraph"/>
      </w:pPr>
      <w:r>
        <w:t>• Alcance: el equipo de seguridad pide pruebas de penetración en el plan final, pero no figuran entre los entregables de la propuesta inicial. (Chat, Propuesta)</w:t>
      </w:r>
    </w:p>
    <w:p>
      <w:pPr>
        <w:pStyle w:val="Heading1"/>
      </w:pPr>
      <w:r>
        <w:t>9. Preguntas y respuestas para la dirección</w:t>
      </w:r>
    </w:p>
    <w:p>
      <w:r>
        <w:rPr>
          <w:b/>
        </w:rPr>
        <w:t>¿Alcanza el presupuesto si se usa toda la contingencia?</w:t>
      </w:r>
    </w:p>
    <w:p>
      <w:r>
        <w:t>Apenas: $460K más $40K suma $500K, y Finanzas pidió quedar por debajo de esa cifra. Conviene confirmar el estimado con la cotización elegida antes de cerrar las asignaciones del T2.</w:t>
      </w:r>
    </w:p>
    <w:p>
      <w:r>
        <w:rPr>
          <w:b/>
        </w:rPr>
        <w:t>¿Qué pasa si el despliegue por regiones se extiende más allá del T4?</w:t>
      </w:r>
    </w:p>
    <w:p>
      <w:r>
        <w:t>Los equipos que sigan en uso quedarían sin actualizaciones de seguridad. El plan debería empezar por las sedes con más riesgo y más latencia, como Chicago.</w:t>
      </w:r>
    </w:p>
    <w:p>
      <w:r>
        <w:rPr>
          <w:b/>
        </w:rPr>
        <w:t>¿Elegir la cotización más baja reduce el riesgo?</w:t>
      </w:r>
    </w:p>
    <w:p>
      <w:r>
        <w:t>No necesariamente. Relecloud cuesta un poco menos e incluye seis meses de monitoreo 24/7, lo que podría compensar costos de la mesa de ayuda, pero la elección depende de que Seguridad y Compras la aprueben.</w:t>
      </w:r>
    </w:p>
    <w:p>
      <w:r>
        <w:rPr>
          <w:b/>
        </w:rPr>
        <w:t>¿Cómo se protege al centro de llamadas durante los cambios?</w:t>
      </w:r>
    </w:p>
    <w:p>
      <w:r>
        <w:t>Con el plan de mitigación de la inactividad, cambios fuera del horario laboral y procedimientos de reversión documentados antes de cada actualización.</w:t>
      </w:r>
    </w:p>
    <w:p>
      <w:pPr>
        <w:pStyle w:val="Heading1"/>
      </w:pPr>
      <w:r>
        <w:t>Apéndice: fuentes por sección</w:t>
      </w:r>
    </w:p>
    <w:p>
      <w:r>
        <w:t>Fuentes citadas:</w:t>
      </w:r>
    </w:p>
    <w:p>
      <w:pPr>
        <w:pStyle w:val="ListParagraph"/>
      </w:pPr>
      <w:r>
        <w:t>• Propuesta: BI_Borrador_Propuesta_Proyecto.docx (sin fecha).</w:t>
      </w:r>
    </w:p>
    <w:p>
      <w:pPr>
        <w:pStyle w:val="ListParagraph"/>
      </w:pPr>
      <w:r>
        <w:t>• Cotizaciones: BI_Correo_Resumen_Cotizaciones_Proveedores.docx (27 de agosto de 2025).</w:t>
      </w:r>
    </w:p>
    <w:p>
      <w:pPr>
        <w:pStyle w:val="ListParagraph"/>
      </w:pPr>
      <w:r>
        <w:t>• Chat: BI_Exportacion_Chat_Teams.txt (2 al 5 de septiembre).</w:t>
      </w:r>
    </w:p>
    <w:p>
      <w:pPr>
        <w:pStyle w:val="ListParagraph"/>
      </w:pPr>
      <w:r>
        <w:t>• Presupuesto: BI_Hilo_Correo_Discusion_Presupuesto.docx (10 de septiembre de 2025).</w:t>
      </w:r>
    </w:p>
    <w:p>
      <w:pPr>
        <w:pStyle w:val="ListParagraph"/>
      </w:pPr>
      <w:r>
        <w:t>• Reunión: BI_Notas_Reunion_Partes_Interesadas.docx (25 de septiembre).</w:t>
      </w:r>
    </w:p>
    <w:p>
      <w:pPr>
        <w:pStyle w:val="ListParagraph"/>
      </w:pPr>
      <w:r>
        <w:t>• Memo: BI_Memo_Riesgos_Seguridad.docx (sin fecha).</w:t>
      </w:r>
    </w:p>
    <w:p>
      <w:r>
        <w:t>Sección y fuentes que la sostienen:</w:t>
      </w:r>
    </w:p>
    <w:p>
      <w:pPr>
        <w:pStyle w:val="ListParagraph"/>
      </w:pPr>
      <w:r>
        <w:t>• 1. Propósito y alcance: Propuesta, Presupuesto.</w:t>
      </w:r>
    </w:p>
    <w:p>
      <w:pPr>
        <w:pStyle w:val="ListParagraph"/>
      </w:pPr>
      <w:r>
        <w:t>• 2. Objetivos principales: Propuesta, Reunión, Chat, Presupuesto.</w:t>
      </w:r>
    </w:p>
    <w:p>
      <w:pPr>
        <w:pStyle w:val="ListParagraph"/>
      </w:pPr>
      <w:r>
        <w:t>• 3. Entregables clave: Propuesta, Chat, Memo, Reunión.</w:t>
      </w:r>
    </w:p>
    <w:p>
      <w:pPr>
        <w:pStyle w:val="ListParagraph"/>
      </w:pPr>
      <w:r>
        <w:t>• 4. Hitos y calendario: Cotizaciones, Chat, Presupuesto, Reunión, Memo, Propuesta.</w:t>
      </w:r>
    </w:p>
    <w:p>
      <w:pPr>
        <w:pStyle w:val="ListParagraph"/>
      </w:pPr>
      <w:r>
        <w:t>• 5. Presupuesto y proveedores: Presupuesto, Cotizaciones.</w:t>
      </w:r>
    </w:p>
    <w:p>
      <w:pPr>
        <w:pStyle w:val="ListParagraph"/>
      </w:pPr>
      <w:r>
        <w:t>• 6. Riesgos: Propuesta, Memo, Reunión, Chat, Presupuesto, Cotizaciones.</w:t>
      </w:r>
    </w:p>
    <w:p>
      <w:pPr>
        <w:pStyle w:val="ListParagraph"/>
      </w:pPr>
      <w:r>
        <w:t>• 7. Partes interesadas: las seis fuentes.</w:t>
      </w:r>
    </w:p>
    <w:p>
      <w:pPr>
        <w:pStyle w:val="ListParagraph"/>
      </w:pPr>
      <w:r>
        <w:t>• 8. Datos contradictorios o por confirmar: Cotizaciones, Presupuesto, Propuesta, Reunión, Chat.</w:t>
      </w:r>
    </w:p>
    <w:p>
      <w:pPr>
        <w:pStyle w:val="ListParagraph"/>
      </w:pPr>
      <w:r>
        <w:t>• 9. Preguntas y respuestas: elaboradas a partir de las secciones 1 a 8.</w:t>
      </w:r>
    </w:p>
    <w:sectPr w:rsidR="00F73AC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0722"/>
    <w:rsid w:val="0003081F"/>
    <w:rsid w:val="00591928"/>
    <w:rsid w:val="007E195E"/>
    <w:rsid w:val="00984E07"/>
    <w:rsid w:val="00C30722"/>
    <w:rsid w:val="00C546F4"/>
    <w:rsid w:val="00C70FAF"/>
    <w:rsid w:val="00CD0A06"/>
    <w:rsid w:val="00DB7A42"/>
    <w:rsid w:val="00E563D6"/>
    <w:rsid w:val="00F73AC3"/>
    <w:rsid w:val="00FC6D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4BDE4C"/>
  <w15:chartTrackingRefBased/>
  <w15:docId w15:val="{9B1C8C49-8067-4509-A006-7ACC7A4896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 Display" w:eastAsiaTheme="minorHAnsi" w:hAnsi="Aptos Display" w:cstheme="majorBidi"/>
        <w:color w:val="0F4761" w:themeColor="accent1" w:themeShade="BF"/>
        <w:sz w:val="24"/>
        <w:szCs w:val="40"/>
        <w:lang w:val="es-P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D4A"/>
    <w:rPr>
      <w:color w:val="000000" w:themeColor="text1"/>
    </w:rPr>
  </w:style>
  <w:style w:type="paragraph" w:styleId="Heading1">
    <w:name w:val="heading 1"/>
    <w:basedOn w:val="Normal"/>
    <w:next w:val="Normal"/>
    <w:link w:val="Heading1Char"/>
    <w:uiPriority w:val="9"/>
    <w:qFormat/>
    <w:rsid w:val="00C30722"/>
    <w:pPr>
      <w:keepNext/>
      <w:keepLines/>
      <w:spacing w:before="360" w:after="80"/>
      <w:outlineLvl w:val="0"/>
    </w:pPr>
    <w:rPr>
      <w:rFonts w:asciiTheme="majorHAnsi" w:eastAsiaTheme="majorEastAsia" w:hAnsiTheme="majorHAnsi"/>
      <w:color w:val="0F4761" w:themeColor="accent1" w:themeShade="BF"/>
      <w:sz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30722"/>
    <w:pPr>
      <w:keepNext/>
      <w:keepLines/>
      <w:spacing w:before="160" w:after="80"/>
      <w:outlineLvl w:val="1"/>
    </w:pPr>
    <w:rPr>
      <w:rFonts w:asciiTheme="majorHAnsi" w:eastAsiaTheme="majorEastAsia" w:hAnsiTheme="majorHAns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30722"/>
    <w:pPr>
      <w:keepNext/>
      <w:keepLines/>
      <w:spacing w:before="160" w:after="80"/>
      <w:outlineLvl w:val="2"/>
    </w:pPr>
    <w:rPr>
      <w:rFonts w:asciiTheme="minorHAnsi" w:eastAsiaTheme="majorEastAsia" w:hAnsiTheme="minorHAns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30722"/>
    <w:pPr>
      <w:keepNext/>
      <w:keepLines/>
      <w:spacing w:before="80" w:after="40"/>
      <w:outlineLvl w:val="3"/>
    </w:pPr>
    <w:rPr>
      <w:rFonts w:asciiTheme="minorHAnsi" w:eastAsiaTheme="majorEastAsia" w:hAnsiTheme="minorHAns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30722"/>
    <w:pPr>
      <w:keepNext/>
      <w:keepLines/>
      <w:spacing w:before="80" w:after="40"/>
      <w:outlineLvl w:val="4"/>
    </w:pPr>
    <w:rPr>
      <w:rFonts w:asciiTheme="minorHAnsi" w:eastAsiaTheme="majorEastAsia" w:hAnsiTheme="minorHAns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30722"/>
    <w:pPr>
      <w:keepNext/>
      <w:keepLines/>
      <w:spacing w:before="40" w:after="0"/>
      <w:outlineLvl w:val="5"/>
    </w:pPr>
    <w:rPr>
      <w:rFonts w:asciiTheme="minorHAnsi" w:eastAsiaTheme="majorEastAsia" w:hAnsiTheme="minorHAns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30722"/>
    <w:pPr>
      <w:keepNext/>
      <w:keepLines/>
      <w:spacing w:before="40" w:after="0"/>
      <w:outlineLvl w:val="6"/>
    </w:pPr>
    <w:rPr>
      <w:rFonts w:asciiTheme="minorHAnsi" w:eastAsiaTheme="majorEastAsia" w:hAnsiTheme="minorHAns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30722"/>
    <w:pPr>
      <w:keepNext/>
      <w:keepLines/>
      <w:spacing w:after="0"/>
      <w:outlineLvl w:val="7"/>
    </w:pPr>
    <w:rPr>
      <w:rFonts w:asciiTheme="minorHAnsi" w:eastAsiaTheme="majorEastAsia" w:hAnsiTheme="minorHAns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30722"/>
    <w:pPr>
      <w:keepNext/>
      <w:keepLines/>
      <w:spacing w:after="0"/>
      <w:outlineLvl w:val="8"/>
    </w:pPr>
    <w:rPr>
      <w:rFonts w:asciiTheme="minorHAnsi" w:eastAsiaTheme="majorEastAsia" w:hAnsiTheme="minorHAns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30722"/>
    <w:rPr>
      <w:rFonts w:asciiTheme="majorHAnsi" w:eastAsiaTheme="majorEastAsia" w:hAnsiTheme="majorHAnsi"/>
      <w:sz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30722"/>
    <w:rPr>
      <w:rFonts w:asciiTheme="majorHAnsi" w:eastAsiaTheme="majorEastAsia" w:hAnsiTheme="majorHAnsi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30722"/>
    <w:rPr>
      <w:rFonts w:asciiTheme="minorHAnsi" w:eastAsiaTheme="majorEastAsia" w:hAnsiTheme="minorHAnsi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30722"/>
    <w:rPr>
      <w:rFonts w:asciiTheme="minorHAnsi" w:eastAsiaTheme="majorEastAsia" w:hAnsiTheme="minorHAnsi"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30722"/>
    <w:rPr>
      <w:rFonts w:asciiTheme="minorHAnsi" w:eastAsiaTheme="majorEastAsia" w:hAnsiTheme="minorHAnsi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30722"/>
    <w:rPr>
      <w:rFonts w:asciiTheme="minorHAnsi" w:eastAsiaTheme="majorEastAsia" w:hAnsiTheme="minorHAns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30722"/>
    <w:rPr>
      <w:rFonts w:asciiTheme="minorHAnsi" w:eastAsiaTheme="majorEastAsia" w:hAnsiTheme="minorHAns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30722"/>
    <w:rPr>
      <w:rFonts w:asciiTheme="minorHAnsi" w:eastAsiaTheme="majorEastAsia" w:hAnsiTheme="minorHAns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30722"/>
    <w:rPr>
      <w:rFonts w:asciiTheme="minorHAnsi" w:eastAsiaTheme="majorEastAsia" w:hAnsiTheme="minorHAns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30722"/>
    <w:pPr>
      <w:spacing w:after="80" w:line="240" w:lineRule="auto"/>
      <w:contextualSpacing/>
    </w:pPr>
    <w:rPr>
      <w:rFonts w:asciiTheme="majorHAnsi" w:eastAsiaTheme="majorEastAsia" w:hAnsiTheme="majorHAnsi"/>
      <w:color w:val="auto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30722"/>
    <w:rPr>
      <w:rFonts w:asciiTheme="majorHAnsi" w:eastAsiaTheme="majorEastAsia" w:hAnsiTheme="majorHAnsi"/>
      <w:color w:val="auto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30722"/>
    <w:pPr>
      <w:numPr>
        <w:ilvl w:val="1"/>
      </w:numPr>
    </w:pPr>
    <w:rPr>
      <w:rFonts w:asciiTheme="minorHAnsi" w:eastAsiaTheme="majorEastAsia" w:hAnsiTheme="minorHAnsi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30722"/>
    <w:rPr>
      <w:rFonts w:asciiTheme="minorHAnsi" w:eastAsiaTheme="majorEastAsia" w:hAnsiTheme="minorHAnsi"/>
      <w:color w:val="000000" w:themeColor="text1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30722"/>
    <w:pPr>
      <w:spacing w:before="160"/>
      <w:jc w:val="center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C30722"/>
    <w:rPr>
      <w:i/>
      <w:iCs/>
      <w:color w:val="000000" w:themeColor="text1"/>
    </w:rPr>
  </w:style>
  <w:style w:type="paragraph" w:styleId="ListParagraph">
    <w:name w:val="List Paragraph"/>
    <w:basedOn w:val="Normal"/>
    <w:uiPriority w:val="34"/>
    <w:qFormat/>
    <w:rsid w:val="00C3072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3072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3072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30722"/>
    <w:rPr>
      <w:i/>
      <w:iCs/>
    </w:rPr>
  </w:style>
  <w:style w:type="character" w:styleId="IntenseReference">
    <w:name w:val="Intense Reference"/>
    <w:basedOn w:val="DefaultParagraphFont"/>
    <w:uiPriority w:val="32"/>
    <w:qFormat/>
    <w:rsid w:val="00C3072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f42aa342-8706-4288-bd11-ebb85995028c}" enabled="1" method="Privileged" siteId="{72f988bf-86f1-41af-91ab-2d7cd011db47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98</Words>
  <Characters>649</Characters>
  <Application>Microsoft Office Word</Application>
  <DocSecurity>0</DocSecurity>
  <Lines>12</Lines>
  <Paragraphs>5</Paragraphs>
  <ScaleCrop>false</ScaleCrop>
  <Company/>
  <LinksUpToDate>false</LinksUpToDate>
  <CharactersWithSpaces>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Marco del proyecto: Modernización de Red y Mejora de Seguridad</dc:title>
  <dc:subject>Respaldo del laboratorio de TI</dc:subject>
  <dc:creator>Tecnasa U Learning Center</dc:creator>
  <cp:keywords/>
  <dc:description/>
  <cp:lastModifiedBy>Tecnasa U Learning Center</cp:lastModifiedBy>
  <cp:revision>3</cp:revision>
  <dcterms:created xsi:type="dcterms:W3CDTF">2025-11-06T20:11:00Z</dcterms:created>
  <dcterms:modified xsi:type="dcterms:W3CDTF">2026-01-17T15:40:00Z</dcterms:modified>
</cp:coreProperties>
</file>