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9C3E2" w14:textId="77777777" w:rsidR="001C653B" w:rsidRDefault="00000000">
      <w:pPr>
        <w:jc w:val="center"/>
      </w:pPr>
      <w:r>
        <w:rPr>
          <w:b/>
          <w:sz w:val="36"/>
        </w:rPr>
        <w:t>Adatum Corporation</w:t>
      </w:r>
    </w:p>
    <w:p w14:paraId="649C6E7F" w14:textId="77777777" w:rsidR="001C653B" w:rsidRDefault="00000000">
      <w:pPr>
        <w:jc w:val="center"/>
      </w:pPr>
      <w:r>
        <w:rPr>
          <w:b/>
          <w:sz w:val="48"/>
        </w:rPr>
        <w:t>Política de beneficios del personal</w:t>
      </w:r>
    </w:p>
    <w:p w14:paraId="6047DD38" w14:textId="77777777" w:rsidR="001C653B" w:rsidRDefault="00000000">
      <w:pPr>
        <w:jc w:val="center"/>
      </w:pPr>
      <w:r>
        <w:rPr>
          <w:sz w:val="24"/>
        </w:rPr>
        <w:t>Panorama completo de los beneficios del personal y de quién puede recibirlos</w:t>
      </w:r>
    </w:p>
    <w:p w14:paraId="3FFE9A71" w14:textId="77777777" w:rsidR="001C653B" w:rsidRDefault="00000000">
      <w:pPr>
        <w:jc w:val="center"/>
      </w:pPr>
      <w:r>
        <w:rPr>
          <w:i/>
        </w:rPr>
        <w:t>Vigencia: 31 de octubre de 2025 | v1.0</w:t>
      </w:r>
      <w:proofErr w:type="gramStart"/>
      <w:r>
        <w:rPr>
          <w:i/>
        </w:rPr>
      </w:r>
      <w:proofErr w:type="gramEnd"/>
      <w:r>
        <w:rPr>
          <w:i/>
        </w:rPr>
      </w:r>
    </w:p>
    <w:p w14:paraId="7A3BB1AC" w14:textId="77777777" w:rsidR="001C653B" w:rsidRDefault="00000000">
      <w:pPr>
        <w:pStyle w:val="Heading1"/>
      </w:pPr>
      <w:r>
        <w:t>Propósito y alcance</w:t>
      </w:r>
    </w:p>
    <w:p w14:paraId="5F1C1BA1" w14:textId="77777777" w:rsidR="001C653B" w:rsidRDefault="00000000">
      <w:r>
        <w:t>Esta política describe los beneficios que Adatum Corporation («Adatum») ofrece al personal elegible. Se aplica a todo el personal regular de tiempo completo y de medio tiempo, salvo que se indique lo contrario.</w:t>
      </w:r>
    </w:p>
    <w:p w14:paraId="545CCAFA" w14:textId="77777777" w:rsidR="001C653B" w:rsidRDefault="00000000">
      <w:pPr>
        <w:pStyle w:val="Heading1"/>
      </w:pPr>
      <w:r>
        <w:t>Elegibilidad</w:t>
      </w:r>
    </w:p>
    <w:p w14:paraId="06E3AA59" w14:textId="77777777" w:rsidR="001C653B" w:rsidRDefault="00000000">
      <w:pPr>
        <w:pStyle w:val="ListBullet"/>
      </w:pPr>
      <w:r>
        <w:t>El personal regular de tiempo completo (30+ horas/semana) tiene derecho a todos los beneficios principales.</w:t>
      </w:r>
    </w:p>
    <w:p w14:paraId="670ABD6B" w14:textId="77777777" w:rsidR="001C653B" w:rsidRDefault="00000000">
      <w:pPr>
        <w:pStyle w:val="ListBullet"/>
      </w:pPr>
      <w:r>
        <w:t>El personal regular de medio tiempo (20–29 horas/semana) tiene derecho a cobertura médica, dental y de visión prorrateada, y puede participar en los planes de jubilación y en los planes voluntarios.</w:t>
      </w:r>
    </w:p>
    <w:p w14:paraId="2211AEB4" w14:textId="77777777" w:rsidR="001C653B" w:rsidRDefault="00000000">
      <w:pPr>
        <w:pStyle w:val="ListBullet"/>
      </w:pPr>
      <w:r>
        <w:t>Los puestos temporales y de pasantía, por lo general, no son elegibles, salvo cuando la ley lo exija.</w:t>
      </w:r>
    </w:p>
    <w:p w14:paraId="1B67FA65" w14:textId="77777777" w:rsidR="001C653B" w:rsidRDefault="00000000">
      <w:pPr>
        <w:pStyle w:val="ListBullet"/>
      </w:pPr>
      <w:r>
        <w:t>Período de espera de los beneficios: hasta el primer día del mes siguiente a la fecha de contratación, salvo que se indique otra cosa.</w:t>
      </w:r>
    </w:p>
    <w:p w14:paraId="7EFDC7B5" w14:textId="77777777" w:rsidR="001C653B" w:rsidRDefault="00000000">
      <w:pPr>
        <w:pStyle w:val="Heading1"/>
      </w:pPr>
      <w:r>
        <w:t>Planes de salud y seguros</w:t>
      </w:r>
    </w:p>
    <w:p w14:paraId="68E374D8" w14:textId="77777777" w:rsidR="001C653B" w:rsidRDefault="00000000">
      <w:r>
        <w:t>Adatum ofrece varias opciones de planes para adaptarse a distintas necesidades. Los resúmenes detallados de cada plan se entregan durante la incorporación.</w:t>
      </w:r>
    </w:p>
    <w:p w14:paraId="790679AD" w14:textId="77777777" w:rsidR="001C653B" w:rsidRDefault="00000000">
      <w:pPr>
        <w:pStyle w:val="ListBullet"/>
      </w:pPr>
      <w:r>
        <w:t>Médico: plan PPO (red de proveedores preferidos) y plan de deducible alto con opción de cuenta de ahorros para la salud; redes en todo el país; incluye telemedicina.</w:t>
      </w:r>
    </w:p>
    <w:p w14:paraId="0876E1AE" w14:textId="77777777" w:rsidR="001C653B" w:rsidRDefault="00000000">
      <w:pPr>
        <w:pStyle w:val="ListBullet"/>
      </w:pPr>
      <w:r>
        <w:t>Dental: atención preventiva al 100%; servicios básicos y mayores con coaseguro; ortodoncia para dependientes menores de 19 años.</w:t>
      </w:r>
    </w:p>
    <w:p w14:paraId="53BC7F31" w14:textId="77777777" w:rsidR="001C653B" w:rsidRDefault="00000000">
      <w:pPr>
        <w:pStyle w:val="ListBullet"/>
      </w:pPr>
      <w:r>
        <w:t>Visión: examen anual; asignación para monturas y lentes o para lentes de contacto.</w:t>
      </w:r>
      <w:proofErr w:type="gramStart"/>
      <w:r/>
      <w:proofErr w:type="gramEnd"/>
      <w:r/>
    </w:p>
    <w:p w14:paraId="0168505F" w14:textId="77777777" w:rsidR="001C653B" w:rsidRDefault="00000000">
      <w:pPr>
        <w:pStyle w:val="ListBullet"/>
      </w:pPr>
      <w:r>
        <w:t>Seguro de vida y de muerte accidental o desmembramiento: cobertura básica pagada por la empresa (1x el salario, máximo $250,000), con opción de ampliarla.</w:t>
      </w:r>
    </w:p>
    <w:p w14:paraId="19E010A0" w14:textId="77777777" w:rsidR="001C653B" w:rsidRDefault="00000000">
      <w:pPr>
        <w:pStyle w:val="ListBullet"/>
      </w:pPr>
      <w:r>
        <w:t>Incapacidad de corto plazo: hasta el 60% de los ingresos semanales por condiciones aprobadas; período de espera estándar de 7 días.</w:t>
      </w:r>
    </w:p>
    <w:p w14:paraId="43EA81DF" w14:textId="77777777" w:rsidR="001C653B" w:rsidRDefault="00000000">
      <w:pPr>
        <w:pStyle w:val="ListBullet"/>
      </w:pPr>
      <w:r>
        <w:t>Incapacidad de largo plazo: 60% de los ingresos mensuales, hasta el máximo de la póliza, después del período de incapacidad de corto plazo.</w:t>
      </w:r>
    </w:p>
    <w:p w14:paraId="168532C0" w14:textId="77777777" w:rsidR="001C653B" w:rsidRDefault="00000000">
      <w:pPr>
        <w:pStyle w:val="ListBullet"/>
      </w:pPr>
      <w:r>
        <w:t>Cuentas de gastos flexibles: para atención médica y cuidado de dependientes; se aplican los límites del IRS.</w:t>
      </w:r>
    </w:p>
    <w:p w14:paraId="0EF8ACBF" w14:textId="77777777" w:rsidR="001C653B" w:rsidRDefault="00000000">
      <w:pPr>
        <w:pStyle w:val="ListBullet"/>
      </w:pPr>
      <w:r>
        <w:t>Cuenta de ahorros para la salud: disponible con el plan de deducible alto; incluye un aporte inicial anual de Adatum y un aporte equivalente opcional.</w:t>
      </w:r>
    </w:p>
    <w:p w14:paraId="7507C951" w14:textId="77777777" w:rsidR="001C653B" w:rsidRDefault="00000000">
      <w:pPr>
        <w:pStyle w:val="Heading1"/>
      </w:pPr>
      <w:r>
        <w:t>Ahorro para la jubilación (401(k))</w:t>
      </w:r>
    </w:p>
    <w:p w14:paraId="46C30F87" w14:textId="77777777" w:rsidR="001C653B" w:rsidRDefault="00000000">
      <w:r>
        <w:t>El personal puede aportar antes de impuestos o en la modalidad Roth, hasta los límites del IRS. Adatum iguala el 100% del primer 4% y el 50% del siguiente 2% del salario elegible (aporte máximo de la empresa: 5%). Consolidación de derechos: inmediata sobre los aportes propios; sobre el aporte de la empresa, total y de una sola vez al cumplir 2 años.</w:t>
      </w:r>
      <w:proofErr w:type="gramStart"/>
      <w:r/>
      <w:proofErr w:type="gramEnd"/>
      <w:r/>
      <w:proofErr w:type="gramStart"/>
      <w:r/>
      <w:proofErr w:type="gramEnd"/>
      <w:r/>
    </w:p>
    <w:p w14:paraId="4437857C" w14:textId="77777777" w:rsidR="001C653B" w:rsidRDefault="00000000">
      <w:pPr>
        <w:pStyle w:val="Heading1"/>
      </w:pPr>
      <w:r>
        <w:t>Tiempo libre remunerado (PTO)</w:t>
      </w:r>
    </w:p>
    <w:p w14:paraId="2108BEEA" w14:textId="77777777" w:rsidR="001C653B" w:rsidRDefault="00000000">
      <w:r>
        <w:t>El tiempo libre remunerado combina vacaciones y días por enfermedad. La acumulación depende de los años de servicio y de las horas pagadas. Se aplican topes de acumulación para fomentar que el personal se tome tiempo libre.</w:t>
      </w:r>
    </w:p>
    <w:tbl>
      <w:tblPr>
        <w:tblW w:w="0" w:type="auto"/>
        <w:tblLook w:val="04A0" w:firstRow="1" w:lastRow="0" w:firstColumn="1" w:lastColumn="0" w:noHBand="0" w:noVBand="1"/>
      </w:tblPr>
      <w:tblGrid>
        <w:gridCol w:w="2160"/>
        <w:gridCol w:w="2160"/>
        <w:gridCol w:w="2160"/>
        <w:gridCol w:w="2160"/>
      </w:tblGrid>
      <w:tr w:rsidR="001C653B" w14:paraId="4178E886" w14:textId="77777777">
        <w:tc>
          <w:tcPr>
            <w:tcW w:w="2160" w:type="dxa"/>
          </w:tcPr>
          <w:p w14:paraId="6790DAD1" w14:textId="77777777" w:rsidR="001C653B" w:rsidRDefault="00000000">
            <w:r>
              <w:t>Antigüedad</w:t>
            </w:r>
          </w:p>
        </w:tc>
        <w:tc>
          <w:tcPr>
            <w:tcW w:w="2160" w:type="dxa"/>
          </w:tcPr>
          <w:p w14:paraId="3B276C87" w14:textId="77777777" w:rsidR="001C653B" w:rsidRDefault="00000000">
            <w:r>
              <w:t>Tasa de acumulación (h/período de pago)</w:t>
            </w:r>
            <w:proofErr w:type="spellStart"/>
            <w:r/>
            <w:proofErr w:type="spellEnd"/>
            <w:r/>
          </w:p>
        </w:tc>
        <w:tc>
          <w:tcPr>
            <w:tcW w:w="2160" w:type="dxa"/>
          </w:tcPr>
          <w:p w14:paraId="727B4065" w14:textId="77777777" w:rsidR="001C653B" w:rsidRDefault="00000000">
            <w:r>
              <w:t>Tiempo libre anual (h)</w:t>
            </w:r>
            <w:proofErr w:type="spellStart"/>
            <w:r/>
            <w:proofErr w:type="spellEnd"/>
            <w:r/>
          </w:p>
        </w:tc>
        <w:tc>
          <w:tcPr>
            <w:tcW w:w="2160" w:type="dxa"/>
          </w:tcPr>
          <w:p w14:paraId="7D625C39" w14:textId="77777777" w:rsidR="001C653B" w:rsidRDefault="00000000">
            <w:r>
              <w:t>Tope de acumulación (h)</w:t>
            </w:r>
            <w:proofErr w:type="spellStart"/>
            <w:r/>
            <w:proofErr w:type="spellEnd"/>
            <w:r/>
          </w:p>
        </w:tc>
      </w:tr>
      <w:tr w:rsidR="001C653B" w14:paraId="04F8500D" w14:textId="77777777">
        <w:tc>
          <w:tcPr>
            <w:tcW w:w="2160" w:type="dxa"/>
          </w:tcPr>
          <w:p w14:paraId="567D3339" w14:textId="77777777" w:rsidR="001C653B" w:rsidRDefault="00000000">
            <w:r>
              <w:t>0–1 años</w:t>
            </w:r>
            <w:proofErr w:type="gramStart"/>
            <w:r/>
            <w:proofErr w:type="gramEnd"/>
          </w:p>
        </w:tc>
        <w:tc>
          <w:tcPr>
            <w:tcW w:w="2160" w:type="dxa"/>
          </w:tcPr>
          <w:p w14:paraId="1C22E3AE" w14:textId="77777777" w:rsidR="001C653B" w:rsidRDefault="00000000">
            <w:r>
              <w:t>3.08</w:t>
            </w:r>
          </w:p>
        </w:tc>
        <w:tc>
          <w:tcPr>
            <w:tcW w:w="2160" w:type="dxa"/>
          </w:tcPr>
          <w:p w14:paraId="0185591D" w14:textId="77777777" w:rsidR="001C653B" w:rsidRDefault="00000000">
            <w:r>
              <w:t>80 (10 días)</w:t>
            </w:r>
          </w:p>
        </w:tc>
        <w:tc>
          <w:tcPr>
            <w:tcW w:w="2160" w:type="dxa"/>
          </w:tcPr>
          <w:p w14:paraId="73B86B46" w14:textId="77777777" w:rsidR="001C653B" w:rsidRDefault="00000000">
            <w:r>
              <w:t>160</w:t>
            </w:r>
          </w:p>
        </w:tc>
      </w:tr>
      <w:tr w:rsidR="001C653B" w14:paraId="73B32CE4" w14:textId="77777777">
        <w:tc>
          <w:tcPr>
            <w:tcW w:w="2160" w:type="dxa"/>
          </w:tcPr>
          <w:p w14:paraId="4523A5DD" w14:textId="77777777" w:rsidR="001C653B" w:rsidRDefault="00000000">
            <w:r>
              <w:t>1–3 años</w:t>
            </w:r>
          </w:p>
        </w:tc>
        <w:tc>
          <w:tcPr>
            <w:tcW w:w="2160" w:type="dxa"/>
          </w:tcPr>
          <w:p w14:paraId="039EF065" w14:textId="77777777" w:rsidR="001C653B" w:rsidRDefault="00000000">
            <w:r>
              <w:t>4.62</w:t>
            </w:r>
          </w:p>
        </w:tc>
        <w:tc>
          <w:tcPr>
            <w:tcW w:w="2160" w:type="dxa"/>
          </w:tcPr>
          <w:p w14:paraId="037915C2" w14:textId="77777777" w:rsidR="001C653B" w:rsidRDefault="00000000">
            <w:r>
              <w:t>120 (15 días)</w:t>
            </w:r>
          </w:p>
        </w:tc>
        <w:tc>
          <w:tcPr>
            <w:tcW w:w="2160" w:type="dxa"/>
          </w:tcPr>
          <w:p w14:paraId="57445664" w14:textId="77777777" w:rsidR="001C653B" w:rsidRDefault="00000000">
            <w:r>
              <w:t>200</w:t>
            </w:r>
          </w:p>
        </w:tc>
      </w:tr>
      <w:tr w:rsidR="001C653B" w14:paraId="710733AD" w14:textId="77777777">
        <w:tc>
          <w:tcPr>
            <w:tcW w:w="2160" w:type="dxa"/>
          </w:tcPr>
          <w:p w14:paraId="3BCE1C9E" w14:textId="77777777" w:rsidR="001C653B" w:rsidRDefault="00000000">
            <w:r>
              <w:t>3–5 años</w:t>
            </w:r>
          </w:p>
        </w:tc>
        <w:tc>
          <w:tcPr>
            <w:tcW w:w="2160" w:type="dxa"/>
          </w:tcPr>
          <w:p w14:paraId="6D2CA18D" w14:textId="77777777" w:rsidR="001C653B" w:rsidRDefault="00000000">
            <w:r>
              <w:t>5.54</w:t>
            </w:r>
          </w:p>
        </w:tc>
        <w:tc>
          <w:tcPr>
            <w:tcW w:w="2160" w:type="dxa"/>
          </w:tcPr>
          <w:p w14:paraId="643E9B5A" w14:textId="77777777" w:rsidR="001C653B" w:rsidRDefault="00000000">
            <w:r>
              <w:t>144 (18 días)</w:t>
            </w:r>
          </w:p>
        </w:tc>
        <w:tc>
          <w:tcPr>
            <w:tcW w:w="2160" w:type="dxa"/>
          </w:tcPr>
          <w:p w14:paraId="50DAB2B9" w14:textId="77777777" w:rsidR="001C653B" w:rsidRDefault="00000000">
            <w:r>
              <w:t>224</w:t>
            </w:r>
          </w:p>
        </w:tc>
      </w:tr>
      <w:tr w:rsidR="001C653B" w14:paraId="0569EE17" w14:textId="77777777">
        <w:tc>
          <w:tcPr>
            <w:tcW w:w="2160" w:type="dxa"/>
          </w:tcPr>
          <w:p w14:paraId="3C567733" w14:textId="77777777" w:rsidR="001C653B" w:rsidRDefault="00000000">
            <w:r>
              <w:t>5+ años</w:t>
            </w:r>
          </w:p>
        </w:tc>
        <w:tc>
          <w:tcPr>
            <w:tcW w:w="2160" w:type="dxa"/>
          </w:tcPr>
          <w:p w14:paraId="5C27A309" w14:textId="77777777" w:rsidR="001C653B" w:rsidRDefault="00000000">
            <w:r>
              <w:t>6.15</w:t>
            </w:r>
          </w:p>
        </w:tc>
        <w:tc>
          <w:tcPr>
            <w:tcW w:w="2160" w:type="dxa"/>
          </w:tcPr>
          <w:p w14:paraId="77A6835B" w14:textId="77777777" w:rsidR="001C653B" w:rsidRDefault="00000000">
            <w:r>
              <w:t>160 (20 días)</w:t>
            </w:r>
          </w:p>
        </w:tc>
        <w:tc>
          <w:tcPr>
            <w:tcW w:w="2160" w:type="dxa"/>
          </w:tcPr>
          <w:p w14:paraId="4A0A3A43" w14:textId="77777777" w:rsidR="001C653B" w:rsidRDefault="00000000">
            <w:r>
              <w:t>240</w:t>
            </w:r>
          </w:p>
        </w:tc>
      </w:tr>
    </w:tbl>
    <w:p w14:paraId="4BDFA259" w14:textId="77777777" w:rsidR="001C653B" w:rsidRDefault="00000000">
      <w:r>
        <w:t>Calendario de feriados (EE. UU.): Año Nuevo, Día de Martin Luther King Jr., Día de los Presidentes, Día de los Caídos, Juneteenth, Día de la Independencia, Día del Trabajo, Día de los Veteranos, Día de Acción de Gracias, día siguiente a Acción de Gracias y Navidad.</w:t>
      </w:r>
    </w:p>
    <w:p w14:paraId="5D6420CC" w14:textId="77777777" w:rsidR="001C653B" w:rsidRDefault="00000000">
      <w:pPr>
        <w:pStyle w:val="Heading1"/>
      </w:pPr>
      <w:r>
        <w:t>Bienestar y asistencia al personal</w:t>
      </w:r>
    </w:p>
    <w:p w14:paraId="654B2499" w14:textId="77777777" w:rsidR="001C653B" w:rsidRDefault="00000000">
      <w:pPr>
        <w:pStyle w:val="ListBullet"/>
      </w:pPr>
      <w:r>
        <w:t>Subsidio de bienestar: $300/año para actividad física o equipo ergonómico.</w:t>
      </w:r>
    </w:p>
    <w:p w14:paraId="0EC7F068" w14:textId="77777777" w:rsidR="001C653B" w:rsidRDefault="00000000">
      <w:pPr>
        <w:pStyle w:val="ListBullet"/>
      </w:pPr>
      <w:r>
        <w:t>Programa de Asistencia al Personal: orientación psicológica confidencial 24/7; hasta 6 sesiones por cada situación.</w:t>
      </w:r>
    </w:p>
    <w:p w14:paraId="275E6BB2" w14:textId="77777777" w:rsidR="001C653B" w:rsidRDefault="00000000">
      <w:pPr>
        <w:pStyle w:val="ListBullet"/>
      </w:pPr>
      <w:r>
        <w:t>Retos de bienestar e incentivos para la atención preventiva.</w:t>
      </w:r>
    </w:p>
    <w:p w14:paraId="6C56620E" w14:textId="77777777" w:rsidR="001C653B" w:rsidRDefault="00000000">
      <w:pPr>
        <w:pStyle w:val="Heading1"/>
      </w:pPr>
      <w:r>
        <w:t>Inscripción y cambios</w:t>
      </w:r>
    </w:p>
    <w:p w14:paraId="48FC9D7C" w14:textId="77777777" w:rsidR="001C653B" w:rsidRDefault="00000000">
      <w:pPr>
        <w:pStyle w:val="ListNumber"/>
      </w:pPr>
      <w:r>
        <w:t>Las nuevas contrataciones se inscriben dentro de los 30 días siguientes a su ingreso.</w:t>
      </w:r>
    </w:p>
    <w:p w14:paraId="1E327531" w14:textId="77777777" w:rsidR="001C653B" w:rsidRDefault="00000000">
      <w:pPr>
        <w:pStyle w:val="ListNumber"/>
      </w:pPr>
      <w:r>
        <w:t>La inscripción abierta anual se realiza cada noviembre, con vigencia a partir del 1 de enero.</w:t>
      </w:r>
    </w:p>
    <w:p w14:paraId="10C695CC" w14:textId="77777777" w:rsidR="001C653B" w:rsidRDefault="00000000">
      <w:pPr>
        <w:pStyle w:val="ListNumber"/>
      </w:pPr>
      <w:r>
        <w:t>Los cambios a mitad de año requieren un evento de vida que califique (p. ej., matrimonio o nacimiento) y deben hacerse dentro de los 30 días siguientes.</w:t>
      </w:r>
    </w:p>
    <w:p w14:paraId="2D6D610B" w14:textId="77777777" w:rsidR="001C653B" w:rsidRDefault="00000000">
      <w:pPr>
        <w:pStyle w:val="Heading1"/>
      </w:pPr>
      <w:r>
        <w:t>Coordinación con las licencias</w:t>
      </w:r>
    </w:p>
    <w:p w14:paraId="5830A3BC" w14:textId="77777777" w:rsidR="001C653B" w:rsidRDefault="00000000">
      <w:r>
        <w:t>Durante las licencias aprobadas hay opciones para mantener los beneficios, según lo descrito en la Política de licencias, incluidas las responsabilidades de pago de primas y la protección del puesto cuando corresponda.</w:t>
      </w:r>
    </w:p>
    <w:p w14:paraId="5D063ABD" w14:textId="77777777" w:rsidR="001C653B" w:rsidRDefault="00000000">
      <w:pPr>
        <w:pStyle w:val="Heading1"/>
      </w:pPr>
      <w:r>
        <w:t>Preguntas frecuentes</w:t>
      </w:r>
    </w:p>
    <w:p w14:paraId="53083D86" w14:textId="77777777" w:rsidR="001C653B" w:rsidRDefault="00000000">
      <w:pPr>
        <w:pStyle w:val="ListBullet"/>
      </w:pPr>
      <w:r>
        <w:t>P: ¿Cuándo empiezan los beneficios? R: El primer día del mes siguiente a la contratación, salvo que se indique otra cosa.</w:t>
      </w:r>
    </w:p>
    <w:p w14:paraId="7E2D27D9" w14:textId="77777777" w:rsidR="001C653B" w:rsidRDefault="00000000">
      <w:pPr>
        <w:pStyle w:val="ListBullet"/>
      </w:pPr>
      <w:r>
        <w:t>P: ¿Puedo cambiar de plan a mitad de año? R: Solo si tienes un evento de vida que califique y haces el cambio dentro de los 30 días siguientes.</w:t>
      </w:r>
    </w:p>
    <w:p w14:paraId="255EBECC" w14:textId="77777777" w:rsidR="001C653B" w:rsidRDefault="00000000">
      <w:pPr>
        <w:pStyle w:val="ListBullet"/>
      </w:pPr>
      <w:r>
        <w:t>P: ¿Cómo veo los planes que tengo elegidos? R: Ve a MyHR &gt; Beneficios &gt; Elecciones actuales.</w:t>
      </w:r>
    </w:p>
    <w:sectPr w:rsidR="001C653B"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7D720" w14:textId="77777777" w:rsidR="00BE5CF2" w:rsidRDefault="00BE5CF2">
      <w:pPr>
        <w:spacing w:after="0" w:line="240" w:lineRule="auto"/>
      </w:pPr>
      <w:r>
        <w:separator/>
      </w:r>
    </w:p>
  </w:endnote>
  <w:endnote w:type="continuationSeparator" w:id="0">
    <w:p w14:paraId="22CCF7FA" w14:textId="77777777" w:rsidR="00BE5CF2" w:rsidRDefault="00BE5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E997" w14:textId="77777777" w:rsidR="001C653B" w:rsidRDefault="00000000">
    <w:pPr>
      <w:pStyle w:val="Footer"/>
      <w:jc w:val="center"/>
    </w:pPr>
    <w:r>
      <w:t>Política ficticia con fines exclusivos de capacitación; no constituye asesoría legal. © Adatum Corporation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971C4" w14:textId="77777777" w:rsidR="00BE5CF2" w:rsidRDefault="00BE5CF2">
      <w:pPr>
        <w:spacing w:after="0" w:line="240" w:lineRule="auto"/>
      </w:pPr>
      <w:r>
        <w:separator/>
      </w:r>
    </w:p>
  </w:footnote>
  <w:footnote w:type="continuationSeparator" w:id="0">
    <w:p w14:paraId="4482CDDF" w14:textId="77777777" w:rsidR="00BE5CF2" w:rsidRDefault="00BE5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198839">
    <w:abstractNumId w:val="8"/>
  </w:num>
  <w:num w:numId="2" w16cid:durableId="296884772">
    <w:abstractNumId w:val="6"/>
  </w:num>
  <w:num w:numId="3" w16cid:durableId="88353491">
    <w:abstractNumId w:val="5"/>
  </w:num>
  <w:num w:numId="4" w16cid:durableId="519658421">
    <w:abstractNumId w:val="4"/>
  </w:num>
  <w:num w:numId="5" w16cid:durableId="2131707642">
    <w:abstractNumId w:val="7"/>
  </w:num>
  <w:num w:numId="6" w16cid:durableId="1780098067">
    <w:abstractNumId w:val="3"/>
  </w:num>
  <w:num w:numId="7" w16cid:durableId="348603322">
    <w:abstractNumId w:val="2"/>
  </w:num>
  <w:num w:numId="8" w16cid:durableId="1089425324">
    <w:abstractNumId w:val="1"/>
  </w:num>
  <w:num w:numId="9" w16cid:durableId="920600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1A15"/>
    <w:rsid w:val="001C653B"/>
    <w:rsid w:val="0024331D"/>
    <w:rsid w:val="0029639D"/>
    <w:rsid w:val="00326F90"/>
    <w:rsid w:val="003F3446"/>
    <w:rsid w:val="007F36D7"/>
    <w:rsid w:val="009B4CE6"/>
    <w:rsid w:val="00AA1D8D"/>
    <w:rsid w:val="00B47730"/>
    <w:rsid w:val="00BE5CF2"/>
    <w:rsid w:val="00CB0664"/>
    <w:rsid w:val="00E563D6"/>
    <w:rsid w:val="00F969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DDC31A9-0F58-4804-B99D-AD4C82E6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2949</Characters>
  <Application>Microsoft Office Word</Application>
  <DocSecurity>0</DocSecurity>
  <Lines>101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Tecnasa U Learning Center</dc:creator>
  <cp:keywords/>
  <dc:description>generated by python-docx</dc:description>
  <cp:lastModifiedBy>Tecnasa U Learning Center</cp:lastModifiedBy>
  <cp:revision>3</cp:revision>
  <dcterms:created xsi:type="dcterms:W3CDTF">2013-12-23T23:15:00Z</dcterms:created>
  <dcterms:modified xsi:type="dcterms:W3CDTF">2026-01-17T15:38:00Z</dcterms:modified>
  <cp:category/>
</cp:coreProperties>
</file>